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C1E41A" w14:textId="77777777" w:rsidR="00DC1142" w:rsidRPr="00DC1142" w:rsidRDefault="00DC1142" w:rsidP="00DC1142">
      <w:pPr>
        <w:spacing w:after="240" w:line="240" w:lineRule="auto"/>
        <w:jc w:val="center"/>
        <w:outlineLvl w:val="1"/>
        <w:rPr>
          <w:rFonts w:ascii="Arial" w:eastAsia="Times New Roman" w:hAnsi="Arial" w:cs="Arial"/>
          <w:b/>
          <w:bCs/>
          <w:color w:val="0000FF"/>
          <w:kern w:val="0"/>
          <w:sz w:val="28"/>
          <w:szCs w:val="28"/>
          <w14:ligatures w14:val="none"/>
        </w:rPr>
      </w:pPr>
      <w:r w:rsidRPr="00DC1142">
        <w:rPr>
          <w:rFonts w:ascii="Arial" w:eastAsia="Times New Roman" w:hAnsi="Arial" w:cs="Arial"/>
          <w:b/>
          <w:bCs/>
          <w:color w:val="0000FF"/>
          <w:kern w:val="0"/>
          <w:sz w:val="28"/>
          <w:szCs w:val="28"/>
          <w14:ligatures w14:val="none"/>
        </w:rPr>
        <w:t>Appendix J: GUIDANCE ON SENTENING PARAMETER DEPARTURES</w:t>
      </w:r>
    </w:p>
    <w:p w14:paraId="27586E92"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 xml:space="preserve">The Sentencing Parameters Table and the Offense Chart were designed with typical conduct for the offenses in mind. The confinement ranges allow the military </w:t>
      </w:r>
      <w:proofErr w:type="gramStart"/>
      <w:r w:rsidRPr="00DC1142">
        <w:rPr>
          <w:rFonts w:ascii="Arial" w:eastAsia="Times New Roman" w:hAnsi="Arial" w:cs="Arial"/>
          <w:kern w:val="0"/>
          <w14:ligatures w14:val="none"/>
        </w:rPr>
        <w:t>judge</w:t>
      </w:r>
      <w:proofErr w:type="gramEnd"/>
      <w:r w:rsidRPr="00DC1142">
        <w:rPr>
          <w:rFonts w:ascii="Arial" w:eastAsia="Times New Roman" w:hAnsi="Arial" w:cs="Arial"/>
          <w:kern w:val="0"/>
          <w14:ligatures w14:val="none"/>
        </w:rPr>
        <w:t xml:space="preserve"> significant discretion within the confines of the parameters to give individualized consideration of the offense and the accused. However, the Sentencing Reform found in section 539E of the National Defense Authorization Act for Fiscal Year 2022, modifying Article 56, UCMJ, authorizes the military judge to impose a sentence outside a sentencing parameter upon finding specific facts that warrant such a sentence.</w:t>
      </w:r>
    </w:p>
    <w:p w14:paraId="0696A891"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Included in this Appendix are non-exhaustive examples of potential aggravating and mitigating facts that may warrant a departure from the sentencing parameters. Derived from the District Sentencing Commission, USSC guidelines, and the Manual for Courts-Martial, the examples illustrate the type of factors that the District Sentencing Commission, the USSC, and the Manual for Courts-Martial have determined may warrant a departure from the applicable sentencing range. These departures must be viewed in conjunction with the scope and limitations prescribed by the laws relating to military sentencing. The military judge is not constrained by the enumerated departure examples, and may instead articulate other specific facts that aggravate, extenuate, or mitigate the seriousness of the offense or the accused’s culpability.</w:t>
      </w:r>
    </w:p>
    <w:p w14:paraId="5CCD67C4" w14:textId="77777777" w:rsidR="00DC1142" w:rsidRPr="00DC1142" w:rsidRDefault="00DC1142" w:rsidP="00DC1142">
      <w:pPr>
        <w:spacing w:after="240" w:line="240" w:lineRule="auto"/>
        <w:jc w:val="center"/>
        <w:outlineLvl w:val="1"/>
        <w:rPr>
          <w:rFonts w:ascii="Arial" w:eastAsia="Times New Roman" w:hAnsi="Arial" w:cs="Arial"/>
          <w:b/>
          <w:bCs/>
          <w:color w:val="0000FF"/>
          <w:kern w:val="0"/>
          <w:sz w:val="28"/>
          <w:szCs w:val="28"/>
          <w14:ligatures w14:val="none"/>
        </w:rPr>
      </w:pPr>
      <w:r w:rsidRPr="00DC1142">
        <w:rPr>
          <w:rFonts w:ascii="Arial" w:eastAsia="Times New Roman" w:hAnsi="Arial" w:cs="Arial"/>
          <w:b/>
          <w:bCs/>
          <w:color w:val="0000FF"/>
          <w:kern w:val="0"/>
          <w:sz w:val="28"/>
          <w:szCs w:val="28"/>
          <w14:ligatures w14:val="none"/>
        </w:rPr>
        <w:t>POTENTIAL UPWARD DEPARTURE FACTS</w:t>
      </w:r>
    </w:p>
    <w:p w14:paraId="4F12A0AB"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1) There was an articulable adverse impact on the mission, discipline, or efficiency of the command substantially beyond that normally associated with the offense.</w:t>
      </w:r>
    </w:p>
    <w:p w14:paraId="18AAB17E"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2) There was deliberate cruelty to a victim or there was gratuitous violence inflicted upon a victim in a manner substantially beyond that normally associated with the offense.</w:t>
      </w:r>
    </w:p>
    <w:p w14:paraId="6767DB6E"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3) A victim was particularly vulnerable due to age, rank, position, infirmity, or reduced physical or mental capacity, which was known or should have been known to the accused, unless that vulnerability constituted an element of the offense of conviction.</w:t>
      </w:r>
    </w:p>
    <w:p w14:paraId="1659EEB2"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4) Evidence that the accused intentionally selected any victim or any property as the object of the offense based on factors listed in RCM 1001(b)(4).</w:t>
      </w:r>
    </w:p>
    <w:p w14:paraId="1326CD14"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5) A victim sustained a significant physical or psychological injury, taking into consideration the extent of the injury, the degree to which it may prove permanent, and the extent to which the injury was intended or knowingly risked, other than for an offense for which substantial or grievous bodily harm is an element of the offense of conviction.</w:t>
      </w:r>
    </w:p>
    <w:p w14:paraId="52962466"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 xml:space="preserve">6) The crime committed or attempted involved a high degree of planning or sophistication or planning over an extended </w:t>
      </w:r>
      <w:proofErr w:type="gramStart"/>
      <w:r w:rsidRPr="00DC1142">
        <w:rPr>
          <w:rFonts w:ascii="Arial" w:eastAsia="Times New Roman" w:hAnsi="Arial" w:cs="Arial"/>
          <w:kern w:val="0"/>
          <w14:ligatures w14:val="none"/>
        </w:rPr>
        <w:t>period of time</w:t>
      </w:r>
      <w:proofErr w:type="gramEnd"/>
      <w:r w:rsidRPr="00DC1142">
        <w:rPr>
          <w:rFonts w:ascii="Arial" w:eastAsia="Times New Roman" w:hAnsi="Arial" w:cs="Arial"/>
          <w:kern w:val="0"/>
          <w14:ligatures w14:val="none"/>
        </w:rPr>
        <w:t>.</w:t>
      </w:r>
    </w:p>
    <w:p w14:paraId="64FF365E"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lastRenderedPageBreak/>
        <w:t xml:space="preserve">7) The accused </w:t>
      </w:r>
      <w:proofErr w:type="gramStart"/>
      <w:r w:rsidRPr="00DC1142">
        <w:rPr>
          <w:rFonts w:ascii="Arial" w:eastAsia="Times New Roman" w:hAnsi="Arial" w:cs="Arial"/>
          <w:kern w:val="0"/>
          <w14:ligatures w14:val="none"/>
        </w:rPr>
        <w:t>committed for hire</w:t>
      </w:r>
      <w:proofErr w:type="gramEnd"/>
      <w:r w:rsidRPr="00DC1142">
        <w:rPr>
          <w:rFonts w:ascii="Arial" w:eastAsia="Times New Roman" w:hAnsi="Arial" w:cs="Arial"/>
          <w:kern w:val="0"/>
          <w14:ligatures w14:val="none"/>
        </w:rPr>
        <w:t xml:space="preserve"> a crime against the </w:t>
      </w:r>
      <w:proofErr w:type="gramStart"/>
      <w:r w:rsidRPr="00DC1142">
        <w:rPr>
          <w:rFonts w:ascii="Arial" w:eastAsia="Times New Roman" w:hAnsi="Arial" w:cs="Arial"/>
          <w:kern w:val="0"/>
          <w14:ligatures w14:val="none"/>
        </w:rPr>
        <w:t>person, or</w:t>
      </w:r>
      <w:proofErr w:type="gramEnd"/>
      <w:r w:rsidRPr="00DC1142">
        <w:rPr>
          <w:rFonts w:ascii="Arial" w:eastAsia="Times New Roman" w:hAnsi="Arial" w:cs="Arial"/>
          <w:kern w:val="0"/>
          <w14:ligatures w14:val="none"/>
        </w:rPr>
        <w:t xml:space="preserve"> hired another to commit a crime against the person. This provision does not apply if the accused is separately convicted of an offense of solicitation.</w:t>
      </w:r>
    </w:p>
    <w:p w14:paraId="2DD5A1C5"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8) The accused was an organizer, leader, manager, or supervisor of an ongoing criminal enterprise, conspiracy, or activity that involved multiple members or participants or was otherwise extensive; or the accused committed the crime as part of a group of three or more offenders who all actively participated in the crime. This provision does not apply if the accused is separately convicted of an offense of conspiracy, rioting, or under a principal theory of liability wherein the accused aids, abets, counsels, commands, or procures the commission of an offense.</w:t>
      </w:r>
    </w:p>
    <w:p w14:paraId="77ABD270"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 xml:space="preserve">9) The accused threatened, bribed, or attempted to bribe a victim, a potential witness, or any other person to withhold truthful testimony or provide false testimony, or otherwise attempted to obstruct justice, unless the accused </w:t>
      </w:r>
      <w:proofErr w:type="gramStart"/>
      <w:r w:rsidRPr="00DC1142">
        <w:rPr>
          <w:rFonts w:ascii="Arial" w:eastAsia="Times New Roman" w:hAnsi="Arial" w:cs="Arial"/>
          <w:kern w:val="0"/>
          <w14:ligatures w14:val="none"/>
        </w:rPr>
        <w:t>is separately</w:t>
      </w:r>
      <w:proofErr w:type="gramEnd"/>
      <w:r w:rsidRPr="00DC1142">
        <w:rPr>
          <w:rFonts w:ascii="Arial" w:eastAsia="Times New Roman" w:hAnsi="Arial" w:cs="Arial"/>
          <w:kern w:val="0"/>
          <w14:ligatures w14:val="none"/>
        </w:rPr>
        <w:t xml:space="preserve"> convicted of an offense that arises out of the same conduct.</w:t>
      </w:r>
    </w:p>
    <w:p w14:paraId="15B504A8"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10) The accused abused an official position of trust, confidence, authority, or fiduciary relationship, or used a special skill, in a manner that significantly facilitated the commission or concealment of the offense, unless that abuse constituted an element of the offense of conviction.</w:t>
      </w:r>
    </w:p>
    <w:p w14:paraId="5C805F25"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11) The accused has prior criminal convictions, either civilian or court-martial (excluding summary).</w:t>
      </w:r>
    </w:p>
    <w:p w14:paraId="43CEFE89"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12) The Court did not adjudge other lawful punishments, such as a punitive discharge, reduction in rank, forfeitures of pay and allowances, and/or non-confinement restraints on liberty</w:t>
      </w:r>
      <w:proofErr w:type="gramStart"/>
      <w:r w:rsidRPr="00DC1142">
        <w:rPr>
          <w:rFonts w:ascii="Arial" w:eastAsia="Times New Roman" w:hAnsi="Arial" w:cs="Arial"/>
          <w:kern w:val="0"/>
          <w14:ligatures w14:val="none"/>
        </w:rPr>
        <w:t>. .</w:t>
      </w:r>
      <w:proofErr w:type="gramEnd"/>
    </w:p>
    <w:p w14:paraId="77079D6A"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13) There are other specific facts, articulated by the sentencing judge in the record of trial, that aggravate the seriousness of the offense or the accused’s culpability or otherwise lead the judge to determine that the departure is in the best interest of justice.</w:t>
      </w:r>
    </w:p>
    <w:p w14:paraId="7A2EEEEE" w14:textId="77777777" w:rsidR="00DC1142" w:rsidRPr="00DC1142" w:rsidRDefault="00DC1142" w:rsidP="00DC1142">
      <w:pPr>
        <w:spacing w:after="240" w:line="240" w:lineRule="auto"/>
        <w:jc w:val="center"/>
        <w:outlineLvl w:val="1"/>
        <w:rPr>
          <w:rFonts w:ascii="Arial" w:eastAsia="Times New Roman" w:hAnsi="Arial" w:cs="Arial"/>
          <w:b/>
          <w:bCs/>
          <w:color w:val="0000FF"/>
          <w:kern w:val="0"/>
          <w:sz w:val="28"/>
          <w:szCs w:val="28"/>
          <w14:ligatures w14:val="none"/>
        </w:rPr>
      </w:pPr>
      <w:r w:rsidRPr="00DC1142">
        <w:rPr>
          <w:rFonts w:ascii="Arial" w:eastAsia="Times New Roman" w:hAnsi="Arial" w:cs="Arial"/>
          <w:b/>
          <w:bCs/>
          <w:color w:val="0000FF"/>
          <w:kern w:val="0"/>
          <w:sz w:val="28"/>
          <w:szCs w:val="28"/>
          <w14:ligatures w14:val="none"/>
        </w:rPr>
        <w:t>POTENTIAL DOWNWARD DEPARTURE FACTS</w:t>
      </w:r>
    </w:p>
    <w:p w14:paraId="75911160"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1) The accused’s physical or mental health condition contributed significantly to the commission of the offense or the accused’s capacity to appreciate the wrongfulness of his or her conduct, even though it was not sufficient to constitute a complete defense. The voluntary use of alcohol or other drugs should not ordinarily be considered in relation to this mitigating factor.</w:t>
      </w:r>
    </w:p>
    <w:p w14:paraId="595485E3"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2) The victim was an aggressor in the incident, or the victim’s wrongful conduct contributed significantly to provoking the offense. A victim’s conduct ordinarily would not be sufficient to warrant application of this provision in the context of sexual offenses.</w:t>
      </w:r>
    </w:p>
    <w:p w14:paraId="1AA1329A"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 xml:space="preserve">3) The accused’s clear demonstration of acceptance of responsibility for the offense(s). The accused’s entry of a plea of guilty and enabling of the efficient use of government </w:t>
      </w:r>
      <w:r w:rsidRPr="00DC1142">
        <w:rPr>
          <w:rFonts w:ascii="Arial" w:eastAsia="Times New Roman" w:hAnsi="Arial" w:cs="Arial"/>
          <w:kern w:val="0"/>
          <w14:ligatures w14:val="none"/>
        </w:rPr>
        <w:lastRenderedPageBreak/>
        <w:t>and court resources should ordinarily be considered as a matter of mitigation or first step toward rehabilitation of the accused.</w:t>
      </w:r>
    </w:p>
    <w:p w14:paraId="351F0F52"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4) The accused compensated or made a good faith effort to compensate the victim for any damage or injury sustained.</w:t>
      </w:r>
    </w:p>
    <w:p w14:paraId="039B7A4F"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 xml:space="preserve">5) The offense was principally accomplished by </w:t>
      </w:r>
      <w:proofErr w:type="gramStart"/>
      <w:r w:rsidRPr="00DC1142">
        <w:rPr>
          <w:rFonts w:ascii="Arial" w:eastAsia="Times New Roman" w:hAnsi="Arial" w:cs="Arial"/>
          <w:kern w:val="0"/>
          <w14:ligatures w14:val="none"/>
        </w:rPr>
        <w:t>another,</w:t>
      </w:r>
      <w:proofErr w:type="gramEnd"/>
      <w:r w:rsidRPr="00DC1142">
        <w:rPr>
          <w:rFonts w:ascii="Arial" w:eastAsia="Times New Roman" w:hAnsi="Arial" w:cs="Arial"/>
          <w:kern w:val="0"/>
          <w14:ligatures w14:val="none"/>
        </w:rPr>
        <w:t xml:space="preserve"> the accused was a minor participant in any criminal activity.</w:t>
      </w:r>
    </w:p>
    <w:p w14:paraId="7EAFE10B"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 xml:space="preserve">6) The accused, with no apparent predisposition to do so, was induced to participate in the </w:t>
      </w:r>
      <w:proofErr w:type="gramStart"/>
      <w:r w:rsidRPr="00DC1142">
        <w:rPr>
          <w:rFonts w:ascii="Arial" w:eastAsia="Times New Roman" w:hAnsi="Arial" w:cs="Arial"/>
          <w:kern w:val="0"/>
          <w14:ligatures w14:val="none"/>
        </w:rPr>
        <w:t>crime [(</w:t>
      </w:r>
      <w:proofErr w:type="gramEnd"/>
      <w:r w:rsidRPr="00DC1142">
        <w:rPr>
          <w:rFonts w:ascii="Arial" w:eastAsia="Times New Roman" w:hAnsi="Arial" w:cs="Arial"/>
          <w:kern w:val="0"/>
          <w14:ligatures w14:val="none"/>
        </w:rPr>
        <w:t>if applicable) by a person senior in rank or position], though not sufficiently to constitute a complete defense.</w:t>
      </w:r>
    </w:p>
    <w:p w14:paraId="3C59539D"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7) The accused has provided substantial assistance to law enforcement in the detection or prosecution of other alleged offenders.</w:t>
      </w:r>
    </w:p>
    <w:p w14:paraId="49E9882C"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8) Particular acts of good conduct or bravery and evidence of the reputation or record of the accused in the service for efficiency, fidelity, subordination, temperance, courage, or any other trait that is desirable in a service member.</w:t>
      </w:r>
    </w:p>
    <w:p w14:paraId="1F19ED88"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9) The potential cumulative effect of military-specific punishments such as a punitive discharge, reduction in rank, forfeitures of pay and allowances, and non-confinement restraints on liberty.</w:t>
      </w:r>
    </w:p>
    <w:p w14:paraId="40BA4350" w14:textId="77777777" w:rsidR="00DC1142" w:rsidRPr="00DC1142" w:rsidRDefault="00DC1142" w:rsidP="00DC1142">
      <w:pPr>
        <w:spacing w:after="240" w:line="240" w:lineRule="auto"/>
        <w:rPr>
          <w:rFonts w:ascii="Arial" w:eastAsia="Times New Roman" w:hAnsi="Arial" w:cs="Arial"/>
          <w:kern w:val="0"/>
          <w14:ligatures w14:val="none"/>
        </w:rPr>
      </w:pPr>
      <w:r w:rsidRPr="00DC1142">
        <w:rPr>
          <w:rFonts w:ascii="Arial" w:eastAsia="Times New Roman" w:hAnsi="Arial" w:cs="Arial"/>
          <w:kern w:val="0"/>
          <w14:ligatures w14:val="none"/>
        </w:rPr>
        <w:t>10) There are other specific facts, as articulated by the sentencing judge in the record of trial, which do not amount to a defense, but which substantially extenuate or mitigate the seriousness of the offense or the accused’s culpability, or otherwise lead the judge to determine that the departure is in the best interest of justice.</w:t>
      </w:r>
    </w:p>
    <w:p w14:paraId="0874EE66" w14:textId="77777777" w:rsidR="00972365" w:rsidRDefault="00972365"/>
    <w:sectPr w:rsidR="009723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632"/>
    <w:rsid w:val="00036B3C"/>
    <w:rsid w:val="00046FDE"/>
    <w:rsid w:val="00696068"/>
    <w:rsid w:val="00972365"/>
    <w:rsid w:val="00A10B08"/>
    <w:rsid w:val="00DC1142"/>
    <w:rsid w:val="00EA2632"/>
    <w:rsid w:val="00F555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268A63-AFA3-41DC-89E8-10C02710C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26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26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26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26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26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26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26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26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26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26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26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26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26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26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26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26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26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2632"/>
    <w:rPr>
      <w:rFonts w:eastAsiaTheme="majorEastAsia" w:cstheme="majorBidi"/>
      <w:color w:val="272727" w:themeColor="text1" w:themeTint="D8"/>
    </w:rPr>
  </w:style>
  <w:style w:type="paragraph" w:styleId="Title">
    <w:name w:val="Title"/>
    <w:basedOn w:val="Normal"/>
    <w:next w:val="Normal"/>
    <w:link w:val="TitleChar"/>
    <w:uiPriority w:val="10"/>
    <w:qFormat/>
    <w:rsid w:val="00EA26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26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26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26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2632"/>
    <w:pPr>
      <w:spacing w:before="160"/>
      <w:jc w:val="center"/>
    </w:pPr>
    <w:rPr>
      <w:i/>
      <w:iCs/>
      <w:color w:val="404040" w:themeColor="text1" w:themeTint="BF"/>
    </w:rPr>
  </w:style>
  <w:style w:type="character" w:customStyle="1" w:styleId="QuoteChar">
    <w:name w:val="Quote Char"/>
    <w:basedOn w:val="DefaultParagraphFont"/>
    <w:link w:val="Quote"/>
    <w:uiPriority w:val="29"/>
    <w:rsid w:val="00EA2632"/>
    <w:rPr>
      <w:i/>
      <w:iCs/>
      <w:color w:val="404040" w:themeColor="text1" w:themeTint="BF"/>
    </w:rPr>
  </w:style>
  <w:style w:type="paragraph" w:styleId="ListParagraph">
    <w:name w:val="List Paragraph"/>
    <w:basedOn w:val="Normal"/>
    <w:uiPriority w:val="34"/>
    <w:qFormat/>
    <w:rsid w:val="00EA2632"/>
    <w:pPr>
      <w:ind w:left="720"/>
      <w:contextualSpacing/>
    </w:pPr>
  </w:style>
  <w:style w:type="character" w:styleId="IntenseEmphasis">
    <w:name w:val="Intense Emphasis"/>
    <w:basedOn w:val="DefaultParagraphFont"/>
    <w:uiPriority w:val="21"/>
    <w:qFormat/>
    <w:rsid w:val="00EA2632"/>
    <w:rPr>
      <w:i/>
      <w:iCs/>
      <w:color w:val="0F4761" w:themeColor="accent1" w:themeShade="BF"/>
    </w:rPr>
  </w:style>
  <w:style w:type="paragraph" w:styleId="IntenseQuote">
    <w:name w:val="Intense Quote"/>
    <w:basedOn w:val="Normal"/>
    <w:next w:val="Normal"/>
    <w:link w:val="IntenseQuoteChar"/>
    <w:uiPriority w:val="30"/>
    <w:qFormat/>
    <w:rsid w:val="00EA26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2632"/>
    <w:rPr>
      <w:i/>
      <w:iCs/>
      <w:color w:val="0F4761" w:themeColor="accent1" w:themeShade="BF"/>
    </w:rPr>
  </w:style>
  <w:style w:type="character" w:styleId="IntenseReference">
    <w:name w:val="Intense Reference"/>
    <w:basedOn w:val="DefaultParagraphFont"/>
    <w:uiPriority w:val="32"/>
    <w:qFormat/>
    <w:rsid w:val="00EA26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1043</Words>
  <Characters>5948</Characters>
  <Application>Microsoft Office Word</Application>
  <DocSecurity>0</DocSecurity>
  <Lines>49</Lines>
  <Paragraphs>13</Paragraphs>
  <ScaleCrop>false</ScaleCrop>
  <Company/>
  <LinksUpToDate>false</LinksUpToDate>
  <CharactersWithSpaces>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Barry</dc:creator>
  <cp:keywords/>
  <dc:description/>
  <cp:lastModifiedBy>Matthew Barry</cp:lastModifiedBy>
  <cp:revision>3</cp:revision>
  <dcterms:created xsi:type="dcterms:W3CDTF">2025-10-17T23:26:00Z</dcterms:created>
  <dcterms:modified xsi:type="dcterms:W3CDTF">2025-10-17T23:26:00Z</dcterms:modified>
</cp:coreProperties>
</file>